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Tanish Sankaran, hereinafter referred to as the 'Lessor',</w:t>
      </w:r>
    </w:p>
    <w:p/>
    <w:p>
      <w:r>
        <w:t>AND</w:t>
      </w:r>
    </w:p>
    <w:p/>
    <w:p>
      <w:r>
        <w:t>LESSEE: Waida Mutti,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185/1, admeasuring 2.05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₹4,010,000 to the Lessor upon execution of this Deed.</w:t>
      </w:r>
    </w:p>
    <w:p/>
    <w:p>
      <w:r>
        <w:t>3. ANNUAL LEASE RENT</w:t>
      </w:r>
    </w:p>
    <w:p>
      <w:r>
        <w:t>Annual rent of ₹192,000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