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Mumbai between:</w:t>
      </w:r>
    </w:p>
    <w:p/>
    <w:p>
      <w:r>
        <w:t>LESSOR: Bhavna Keer, hereinafter referred to as the 'Lessor',</w:t>
      </w:r>
    </w:p>
    <w:p/>
    <w:p>
      <w:r>
        <w:t>AND</w:t>
      </w:r>
    </w:p>
    <w:p/>
    <w:p>
      <w:r>
        <w:t>LESSEE: Warhi Raghavan,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303/A, admeasuring 2.63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₹1,410,000 to the Lessor upon execution of this Deed.</w:t>
      </w:r>
    </w:p>
    <w:p/>
    <w:p>
      <w:r>
        <w:t>3. ANNUAL LEASE RENT</w:t>
      </w:r>
    </w:p>
    <w:p>
      <w:r>
        <w:t>Annual rent of ₹84,000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