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Hyderabad between:</w:t>
      </w:r>
    </w:p>
    <w:p/>
    <w:p>
      <w:r>
        <w:t>LESSOR: Rayaan Barman, hereinafter referred to as the 'Lessor',</w:t>
      </w:r>
    </w:p>
    <w:p/>
    <w:p>
      <w:r>
        <w:t>AND</w:t>
      </w:r>
    </w:p>
    <w:p/>
    <w:p>
      <w:r>
        <w:t>LESSEE: Kamala Sanghvi,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165/A, admeasuring 2.81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₹710,000 to the Lessor upon execution of this Deed.</w:t>
      </w:r>
    </w:p>
    <w:p/>
    <w:p>
      <w:r>
        <w:t>3. ANNUAL LEASE RENT</w:t>
      </w:r>
    </w:p>
    <w:p>
      <w:r>
        <w:t>Annual rent of ₹214,000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Hyderabad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