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Yamini Basu, hereinafter referred to as the 'Landlord',</w:t>
      </w:r>
    </w:p>
    <w:p/>
    <w:p>
      <w:r>
        <w:t>AND</w:t>
      </w:r>
    </w:p>
    <w:p/>
    <w:p>
      <w:r>
        <w:t>TENANT: Samar Pillai,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₹52,500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₹315,000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7. JURISDICTION</w:t>
      </w:r>
    </w:p>
    <w:p>
      <w:r>
        <w:t>The courts at Chennai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