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Lajita Misra, hereinafter referred to as the 'Landlord',</w:t>
      </w:r>
    </w:p>
    <w:p/>
    <w:p>
      <w:r>
        <w:t>AND</w:t>
      </w:r>
    </w:p>
    <w:p/>
    <w:p>
      <w:r>
        <w:t>TENANT: Aditya Panchal,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₹79,500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₹450,000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7. JURISDICTION</w:t>
      </w:r>
    </w:p>
    <w:p>
      <w:r>
        <w:t>This Agreement shall be governed by the laws of India, and courts at Chennai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