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Tarak Shroff, hereinafter referred to as the 'Landlord',</w:t>
      </w:r>
    </w:p>
    <w:p/>
    <w:p>
      <w:r>
        <w:t>AND</w:t>
      </w:r>
    </w:p>
    <w:p/>
    <w:p>
      <w:r>
        <w:t>TENANT: Prisha Narayan, hereinafter referred to as the 'Tenant'.</w:t>
      </w:r>
    </w:p>
    <w:p/>
    <w:p>
      <w:r>
        <w:t>This Agreement is governed by the laws of Delhi.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₹8,000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₹149,000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Jaipur.</w:t>
      </w:r>
    </w:p>
    <w:p/>
    <w:p>
      <w:r>
        <w:t>7. JURISDICTION</w:t>
      </w:r>
    </w:p>
    <w:p>
      <w:r>
        <w:t>The courts at Jaipur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