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Surat between:</w:t>
      </w:r>
    </w:p>
    <w:p/>
    <w:p>
      <w:r>
        <w:t>LANDLORD: Hitesh Bhavsar, hereinafter referred to as the 'Landlord',</w:t>
      </w:r>
    </w:p>
    <w:p/>
    <w:p>
      <w:r>
        <w:t>AND</w:t>
      </w:r>
    </w:p>
    <w:p/>
    <w:p>
      <w:r>
        <w:t>TENANT: Rohan Kadakia,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₹77,500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₹198,000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Surat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