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Bhopal between:</w:t>
      </w:r>
    </w:p>
    <w:p/>
    <w:p>
      <w:r>
        <w:t>LANDLORD: Advaith Borah, hereinafter referred to as the 'Landlord',</w:t>
      </w:r>
    </w:p>
    <w:p/>
    <w:p>
      <w:r>
        <w:t>AND</w:t>
      </w:r>
    </w:p>
    <w:p/>
    <w:p>
      <w:r>
        <w:t>TENANT: Chanakya Kala,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₹25,500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₹111,000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Bhopal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