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Surat between:</w:t>
      </w:r>
    </w:p>
    <w:p/>
    <w:p>
      <w:r>
        <w:t>LANDLORD: Ekta Murthy, hereinafter referred to as the 'Landlord',</w:t>
      </w:r>
    </w:p>
    <w:p/>
    <w:p>
      <w:r>
        <w:t>AND</w:t>
      </w:r>
    </w:p>
    <w:p/>
    <w:p>
      <w:r>
        <w:t>TENANT: Chaitaly Hari,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₹22,000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₹305,000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Surat.</w:t>
      </w:r>
    </w:p>
    <w:p/>
    <w:p>
      <w:r>
        <w:t>7. JURISDICTION</w:t>
      </w:r>
    </w:p>
    <w:p>
      <w:r>
        <w:t>The courts at Surat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