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Kanpur between:</w:t>
      </w:r>
    </w:p>
    <w:p/>
    <w:p>
      <w:r>
        <w:t>LESSOR: Lohit Pillai, hereinafter referred to as the 'Lessor',</w:t>
      </w:r>
    </w:p>
    <w:p/>
    <w:p>
      <w:r>
        <w:t>AND</w:t>
      </w:r>
    </w:p>
    <w:p/>
    <w:p>
      <w:r>
        <w:t>LESSEE: Vedhika Bhatnagar,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146/A, admeasuring 7.2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₹2,490,000 to the Lessor upon execution of this Deed.</w:t>
      </w:r>
    </w:p>
    <w:p/>
    <w:p>
      <w:r>
        <w:t>3. ANNUAL LEASE RENT</w:t>
      </w:r>
    </w:p>
    <w:p>
      <w:r>
        <w:t>Annual rent of ₹111,000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Kanpur.</w:t>
      </w:r>
    </w:p>
    <w:p/>
    <w:p>
      <w:r>
        <w:t>7. JURISDICTION</w:t>
      </w:r>
    </w:p>
    <w:p>
      <w:r>
        <w:t>The courts at Kanpur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