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Thane between:</w:t>
      </w:r>
    </w:p>
    <w:p/>
    <w:p>
      <w:r>
        <w:t>LESSOR: Isha Bhakta, hereinafter referred to as the 'Lessor',</w:t>
      </w:r>
    </w:p>
    <w:p/>
    <w:p>
      <w:r>
        <w:t>AND</w:t>
      </w:r>
    </w:p>
    <w:p/>
    <w:p>
      <w:r>
        <w:t>LESSEE: Azaan Nair,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490/2, admeasuring 15825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₹520,000 to the Lessor upon execution of this Deed.</w:t>
      </w:r>
    </w:p>
    <w:p/>
    <w:p>
      <w:r>
        <w:t>3. ANNUAL LEASE RENT</w:t>
      </w:r>
    </w:p>
    <w:p>
      <w:r>
        <w:t>Annual rent of ₹41,500 for the leased land shall be paid by the Lessee to the Lessor on or before November of every calendar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Thane.</w:t>
      </w:r>
    </w:p>
    <w:p/>
    <w:p>
      <w:r>
        <w:t>7. JURISDICTION</w:t>
      </w:r>
    </w:p>
    <w:p>
      <w:r>
        <w:t>The courts at Thane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