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Thane between:</w:t>
      </w:r>
    </w:p>
    <w:p/>
    <w:p>
      <w:r>
        <w:t>LANDLORD: Alka Samra, hereinafter referred to as the 'Landlord',</w:t>
      </w:r>
    </w:p>
    <w:p/>
    <w:p>
      <w:r>
        <w:t>AND</w:t>
      </w:r>
    </w:p>
    <w:p/>
    <w:p>
      <w:r>
        <w:t>TENANT: Tanmayi Anand, hereinafter referred to as the 'Tenant'.</w:t>
      </w:r>
    </w:p>
    <w:p/>
    <w:p>
      <w:r>
        <w:t>This Agreement is governed by the laws of Delhi.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24 months commencing from the date of execution hereof.</w:t>
      </w:r>
    </w:p>
    <w:p/>
    <w:p>
      <w:r>
        <w:t>2. RENT PAYMENT</w:t>
      </w:r>
    </w:p>
    <w:p>
      <w:r>
        <w:t>The Tenant agrees to remit a sum of ₹26,500 per month towards rent, such payment to be made no later than the 5th of each month.</w:t>
      </w:r>
    </w:p>
    <w:p/>
    <w:p>
      <w:r>
        <w:t>3. SECURITY DEPOSIT</w:t>
      </w:r>
    </w:p>
    <w:p>
      <w:r>
        <w:t>The Tenant shall pay an interest-free refundable security deposit of ₹220,000 to the Landlord prior to taking possession, refundable within 30 days of vacating the premises subject to an itemized list of deductions not exceeding 10% of the deposit.</w:t>
      </w:r>
    </w:p>
    <w:p/>
    <w:p>
      <w:r>
        <w:t>4. MAINTENANCE</w:t>
      </w:r>
    </w:p>
    <w:p>
      <w:r>
        <w:t>The Tenant shall be responsible for routine maintenance of the premises, while structural repairs shall be borne by the Landlord.</w:t>
      </w:r>
    </w:p>
    <w:p/>
    <w:p>
      <w:r>
        <w:t>5. TERMINATION</w:t>
      </w:r>
    </w:p>
    <w:p>
      <w:r>
        <w:t>The Landlord may terminate this Agreement forthwith in the event of non-payment of rent for two consecutive months.</w:t>
      </w:r>
    </w:p>
    <w:p/>
    <w:p>
      <w:r>
        <w:t>6. DISPUTE RESOLUTION</w:t>
      </w:r>
    </w:p>
    <w:p>
      <w:r>
        <w:t>All disputes shall first be attempted to be resolved amicably, failing which the matter shall be subject to arbitration in Thane.</w:t>
      </w:r>
    </w:p>
    <w:p/>
    <w:p>
      <w:r>
        <w:t>7. JURISDICTION</w:t>
      </w:r>
    </w:p>
    <w:p>
      <w:r>
        <w:t>This Agreement shall be governed by the laws of India, and courts at Thane alone shall have jurisdiction.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