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Indore between:</w:t>
      </w:r>
    </w:p>
    <w:p/>
    <w:p>
      <w:r>
        <w:t>LANDLORD: Lohit Gupta, hereinafter referred to as the 'Landlord',</w:t>
      </w:r>
    </w:p>
    <w:p/>
    <w:p>
      <w:r>
        <w:t>AND</w:t>
      </w:r>
    </w:p>
    <w:p/>
    <w:p>
      <w:r>
        <w:t>TENANT: Krish Sur, hereinafter referred to as the 'Tenant'.</w:t>
      </w:r>
    </w:p>
    <w:p/>
    <w:p>
      <w:r>
        <w:t>This Agreement is governed by the laws of Gujarat.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60 months commencing from the date of execution hereof.</w:t>
      </w:r>
    </w:p>
    <w:p/>
    <w:p>
      <w:r>
        <w:t>2. RENT PAYMENT</w:t>
      </w:r>
    </w:p>
    <w:p>
      <w:r>
        <w:t>The Tenant agrees to remit a sum of ₹39,000 per month towards rent, such payment to be made no later than the 1st of each month.</w:t>
      </w:r>
    </w:p>
    <w:p/>
    <w:p>
      <w:r>
        <w:t>3. SECURITY DEPOSIT</w:t>
      </w:r>
    </w:p>
    <w:p>
      <w:r>
        <w:t>The Tenant shall pay an interest-free refundable security deposit of ₹550,000 to the Landlord prior to taking possession, refundable within 30 days of vacating the premises subject to an itemized list of deductions not exceeding 10% of the deposit.</w:t>
      </w:r>
    </w:p>
    <w:p/>
    <w:p>
      <w:r>
        <w:t>4. MAINTENANCE</w:t>
      </w:r>
    </w:p>
    <w:p>
      <w:r>
        <w:t>The Tenant shall be responsible for routine maintenance of the premises, while structural repairs shall be borne by the Landlord.</w:t>
      </w:r>
    </w:p>
    <w:p/>
    <w:p>
      <w:r>
        <w:t>5.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6.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7. JURISDICTION</w:t>
      </w:r>
    </w:p>
    <w:p>
      <w:r>
        <w:t>This Agreement shall be governed by the laws of India, and courts at Indore alone shall have jurisdiction.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