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Chaaya Grover, hereinafter referred to as the 'Lessor',</w:t>
      </w:r>
    </w:p>
    <w:p/>
    <w:p>
      <w:r>
        <w:t>AND</w:t>
      </w:r>
    </w:p>
    <w:p/>
    <w:p>
      <w:r>
        <w:t>LESSEE: Andrew Sibal,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449/1, admeasuring 0.84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₹750,000 shall be payable by the Lessee prior to handover of possession of the land.</w:t>
      </w:r>
    </w:p>
    <w:p/>
    <w:p>
      <w:r>
        <w:t>3. ANNUAL LEASE RENT</w:t>
      </w:r>
    </w:p>
    <w:p>
      <w:r>
        <w:t>Annual rent of ₹69,000 for the leased land shall be paid by the Lessee to the Lessor on or before July of every calendar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JURISDICTION</w:t>
      </w:r>
    </w:p>
    <w:p>
      <w:r>
        <w:t>This Agreement shall be governed by the laws of India, and courts at Pune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