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Nagercoil between:</w:t>
      </w:r>
    </w:p>
    <w:p/>
    <w:p>
      <w:r>
        <w:t>LESSOR: Urishilla Wali, hereinafter referred to as the 'Lessor',</w:t>
      </w:r>
    </w:p>
    <w:p/>
    <w:p>
      <w:r>
        <w:t>AND</w:t>
      </w:r>
    </w:p>
    <w:p/>
    <w:p>
      <w:r>
        <w:t>LESSEE: Madhavi Dara, hereinafter referred to as the 'Lessee'.</w:t>
      </w:r>
    </w:p>
    <w:p/>
    <w:p>
      <w:r>
        <w:t>This Deed is governed by the laws of Rajasthan.</w:t>
      </w:r>
    </w:p>
    <w:p/>
    <w:p>
      <w:r>
        <w:t>WHEREAS the Lessor is the absolute owner of the land bearing Survey No. 243/2, admeasuring 3.22 hectares,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An upfront lease premium amounting to ₹2,780,000 shall be payable by the Lessee prior to handover of possession of the land.</w:t>
      </w:r>
    </w:p>
    <w:p/>
    <w:p>
      <w:r>
        <w:t>3. ANNUAL LEASE RENT</w:t>
      </w:r>
    </w:p>
    <w:p>
      <w:r>
        <w:t>Annual rent of ₹159,500 for the leased land shall be paid by the Lessee to the Lessor on or before August of every calendar year.</w:t>
      </w:r>
    </w:p>
    <w:p/>
    <w:p>
      <w:r>
        <w:t>4. PERMITTED USE</w:t>
      </w:r>
    </w:p>
    <w:p>
      <w:r>
        <w:t>The Lessee shall use the leased land solely for the purpose of horticultural plantation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243/2, is unencumbered and free from any third-party claims.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Nagercoil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