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Urmi Mishra, hereinafter referred to as the 'Lessor',</w:t>
      </w:r>
    </w:p>
    <w:p/>
    <w:p>
      <w:r>
        <w:t>AND</w:t>
      </w:r>
    </w:p>
    <w:p/>
    <w:p>
      <w:r>
        <w:t>LESSEE: Unni Krish,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244/A, admeasuring 16337 sq. ft.,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₹4,140,000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₹267,000 payable on or before January each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244/A,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Surat.</w:t>
      </w:r>
    </w:p>
    <w:p/>
    <w:p>
      <w:r>
        <w:t>8.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