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Faras Radhakrishnan, hereinafter referred to as the 'Lessor',</w:t>
      </w:r>
    </w:p>
    <w:p/>
    <w:p>
      <w:r>
        <w:t>AND</w:t>
      </w:r>
    </w:p>
    <w:p/>
    <w:p>
      <w:r>
        <w:t>LESSEE: Bhanumati Nair,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389/1, admeasuring 11713 sq. ft.,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₹1,230,000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₹193,000 payable on or before November each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389/1,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