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Mumbai between:</w:t>
      </w:r>
    </w:p>
    <w:p/>
    <w:p>
      <w:r>
        <w:t>LESSOR: Pushti Bose, hereinafter referred to as the 'Lessor',</w:t>
      </w:r>
    </w:p>
    <w:p/>
    <w:p>
      <w:r>
        <w:t>AND</w:t>
      </w:r>
    </w:p>
    <w:p/>
    <w:p>
      <w:r>
        <w:t>LESSEE: Gaurika Raj,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184/1, admeasuring 3.4 hectares,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₹220,000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₹232,500 payable on or before April each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184/1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Mumbai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