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Vadodara between:</w:t>
      </w:r>
    </w:p>
    <w:p/>
    <w:p>
      <w:r>
        <w:t>LESSOR: Vivaan Deep, hereinafter referred to as the 'Lessor',</w:t>
      </w:r>
    </w:p>
    <w:p/>
    <w:p>
      <w:r>
        <w:t>AND</w:t>
      </w:r>
    </w:p>
    <w:p/>
    <w:p>
      <w:r>
        <w:t>LESSEE: Rohan Borde,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833/B, admeasuring 10642 sq. ft.,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₹3,760,000 to the Lessor upon execution of this Deed.</w:t>
      </w:r>
    </w:p>
    <w:p/>
    <w:p>
      <w:r>
        <w:t>3. ANNUAL LEASE RENT</w:t>
      </w:r>
    </w:p>
    <w:p>
      <w:r>
        <w:t>Annual rent of ₹240,500 for the leased land shall be paid by the Lessee to the Lessor on or before July of every calendar year.</w:t>
      </w:r>
    </w:p>
    <w:p/>
    <w:p>
      <w:r>
        <w:t>4. PERMITTED USE</w:t>
      </w:r>
    </w:p>
    <w:p>
      <w:r>
        <w:t>The Lessee shall use the leased land solely for the purpose of agricultural storage purposes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833/B is free from all encumbrances, charges, and liens.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Vadodara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