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Jagvi Raman, hereinafter referred to as the 'Lessor',</w:t>
      </w:r>
    </w:p>
    <w:p/>
    <w:p>
      <w:r>
        <w:t>AND</w:t>
      </w:r>
    </w:p>
    <w:p/>
    <w:p>
      <w:r>
        <w:t>LESSEE: Farhan Baral,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408/2, admeasuring 6.81 acres,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₹4,260,000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₹253,500 payable on or before January each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408/2,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Pune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