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Hyderabad between:</w:t>
      </w:r>
    </w:p>
    <w:p/>
    <w:p>
      <w:r>
        <w:t>LESSOR: Ronith Subramaniam, hereinafter referred to as the 'Lessor',</w:t>
      </w:r>
    </w:p>
    <w:p/>
    <w:p>
      <w:r>
        <w:t>AND</w:t>
      </w:r>
    </w:p>
    <w:p/>
    <w:p>
      <w:r>
        <w:t>LESSEE: Patrick Goswami,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320/A, admeasuring 4.44 acres,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₹970,000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₹89,500 payable on or before September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320/A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