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Kanpur between:</w:t>
      </w:r>
    </w:p>
    <w:p/>
    <w:p>
      <w:r>
        <w:t>LESSOR: Hemal Rao, hereinafter referred to as the 'Lessor',</w:t>
      </w:r>
    </w:p>
    <w:p/>
    <w:p>
      <w:r>
        <w:t>AND</w:t>
      </w:r>
    </w:p>
    <w:p/>
    <w:p>
      <w:r>
        <w:t>LESSEE: Rachana Mitter,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147/A, admeasuring 36 guntha,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The Lessee shall pay a one-time lease premium of ₹1,560,000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₹148,000 payable on or before April each year.</w:t>
      </w:r>
    </w:p>
    <w:p/>
    <w:p>
      <w:r>
        <w:t>4. PERMITTED USE</w:t>
      </w:r>
    </w:p>
    <w:p>
      <w:r>
        <w:t>The Lessee shall use the leased land solely for the purpose of horticultural plantation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147/A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Kanpur.</w:t>
      </w:r>
    </w:p>
    <w:p/>
    <w:p>
      <w:r>
        <w:t>8. JURISDICTION</w:t>
      </w:r>
    </w:p>
    <w:p>
      <w:r>
        <w:t>This Agreement shall be governed by the laws of India, and courts at Kanpur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