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Harsh Jhaveri, hereinafter referred to as the 'Lessor',</w:t>
      </w:r>
    </w:p>
    <w:p/>
    <w:p>
      <w:r>
        <w:t>AND</w:t>
      </w:r>
    </w:p>
    <w:p/>
    <w:p>
      <w:r>
        <w:t>LESSEE: Anjali Rau,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767/3, admeasuring 1.63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₹2,310,000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₹148,000 payable on or before February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767/3,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