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Ekta Manne, hereinafter referred to as the 'Lessor',</w:t>
      </w:r>
    </w:p>
    <w:p/>
    <w:p>
      <w:r>
        <w:t>AND</w:t>
      </w:r>
    </w:p>
    <w:p/>
    <w:p>
      <w:r>
        <w:t>LESSEE: Raksha Sibal,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525/B, admeasuring 8577 sq. ft.,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₹1,270,000 to the Lessor upon execution of this Deed.</w:t>
      </w:r>
    </w:p>
    <w:p/>
    <w:p>
      <w:r>
        <w:t>3. ANNUAL LEASE RENT</w:t>
      </w:r>
    </w:p>
    <w:p>
      <w:r>
        <w:t>In addition to the lease premium, the Lessee shall pay an annual lease rent of ₹276,500 payable on or before January each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hereby declares that the said land bearing Survey No. 525/B is free from all encumbrances, charges, and liens.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Lucknow.</w:t>
      </w:r>
    </w:p>
    <w:p/>
    <w:p>
      <w:r>
        <w:t>8. JURISDICTION</w:t>
      </w:r>
    </w:p>
    <w:p>
      <w:r>
        <w:t>The courts at Lucknow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