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Nidhi Malhotra, hereinafter referred to as the 'Lessor',</w:t>
      </w:r>
    </w:p>
    <w:p/>
    <w:p>
      <w:r>
        <w:t>AND</w:t>
      </w:r>
    </w:p>
    <w:p/>
    <w:p>
      <w:r>
        <w:t>LESSEE: Sanya Chacko,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642/A, admeasuring 1.54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₹4,150,000 shall be payable by the Lessee prior to handover of possession of the land.</w:t>
      </w:r>
    </w:p>
    <w:p/>
    <w:p>
      <w:r>
        <w:t>3. ANNUAL LEASE RENT</w:t>
      </w:r>
    </w:p>
    <w:p>
      <w:r>
        <w:t>Annual rent of ₹205,000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