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Nashik between:</w:t>
      </w:r>
    </w:p>
    <w:p/>
    <w:p>
      <w:r>
        <w:t>LESSOR: Dakshesh Raman, hereinafter referred to as the 'Lessor',</w:t>
      </w:r>
    </w:p>
    <w:p/>
    <w:p>
      <w:r>
        <w:t>AND</w:t>
      </w:r>
    </w:p>
    <w:p/>
    <w:p>
      <w:r>
        <w:t>LESSEE: Chameli Kar,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145/3, admeasuring 2.81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An upfront lease premium amounting to ₹2,610,000 shall be payable by the Lessee prior to handover of possession of the land.</w:t>
      </w:r>
    </w:p>
    <w:p/>
    <w:p>
      <w:r>
        <w:t>3. ANNUAL LEASE RENT</w:t>
      </w:r>
    </w:p>
    <w:p>
      <w:r>
        <w:t>Annual rent of ₹73,000 for the leased land shall be paid by the Lessee to the Lessor on or before February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145/3,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The courts at Nashik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