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Kolkata between:</w:t>
      </w:r>
    </w:p>
    <w:p/>
    <w:p>
      <w:r>
        <w:t>LESSOR: Daksh Bava, hereinafter referred to as the 'Lessor',</w:t>
      </w:r>
    </w:p>
    <w:p/>
    <w:p>
      <w:r>
        <w:t>AND</w:t>
      </w:r>
    </w:p>
    <w:p/>
    <w:p>
      <w:r>
        <w:t>LESSEE: Gauri Zacharia,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529/3, admeasuring 2.85 hectares,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₹1,380,000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₹194,000 payable on or before November each year.</w:t>
      </w:r>
    </w:p>
    <w:p/>
    <w:p>
      <w:r>
        <w:t>4. PERMITTED USE</w:t>
      </w:r>
    </w:p>
    <w:p>
      <w:r>
        <w:t>The Lessee shall use the leased land solely for the purpose of agricultural storage purposes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529/3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Kolkata.</w:t>
      </w:r>
    </w:p>
    <w:p/>
    <w:p>
      <w:r>
        <w:t>8. JURISDICTION</w:t>
      </w:r>
    </w:p>
    <w:p>
      <w:r>
        <w:t>The courts at Kolkata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