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Patna between:</w:t>
      </w:r>
    </w:p>
    <w:p/>
    <w:p>
      <w:r>
        <w:t>LESSOR: Qarin Roy, hereinafter referred to as the 'Lessor',</w:t>
      </w:r>
    </w:p>
    <w:p/>
    <w:p>
      <w:r>
        <w:t>AND</w:t>
      </w:r>
    </w:p>
    <w:p/>
    <w:p>
      <w:r>
        <w:t>LESSEE: Yash Nagi,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441/1, admeasuring 0.8 hectares,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₹2,440,000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₹75,500 payable on or before June each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441/1,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Patna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