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Chanchal Chowdhury, hereinafter referred to as the 'Lessor',</w:t>
      </w:r>
    </w:p>
    <w:p/>
    <w:p>
      <w:r>
        <w:t>AND</w:t>
      </w:r>
    </w:p>
    <w:p/>
    <w:p>
      <w:r>
        <w:t>LESSEE: Gautami Chakrabarti,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586/2, admeasuring 18260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₹610,000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₹289,000 payable on or before September each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586/2,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Kolkata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