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Kolkata between:</w:t>
      </w:r>
    </w:p>
    <w:p/>
    <w:p>
      <w:r>
        <w:t>LESSOR: Oscar Karan, hereinafter referred to as the 'Lessor',</w:t>
      </w:r>
    </w:p>
    <w:p/>
    <w:p>
      <w:r>
        <w:t>AND</w:t>
      </w:r>
    </w:p>
    <w:p/>
    <w:p>
      <w:r>
        <w:t>LESSEE: Arin Dhingra, hereinafter referred to as the 'Lessee'.</w:t>
      </w:r>
    </w:p>
    <w:p/>
    <w:p>
      <w:r>
        <w:t>This Deed is governed by the laws of Bihar.</w:t>
      </w:r>
    </w:p>
    <w:p/>
    <w:p>
      <w:r>
        <w:t>WHEREAS the Lessor is the absolute owner of the land bearing Survey No. 870/2, admeasuring 1819 sq. ft.,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₹200,000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₹113,000 payable on or before November each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870/2,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Kolkata.</w:t>
      </w:r>
    </w:p>
    <w:p/>
    <w:p>
      <w:r>
        <w:t>8. JURISDICTION</w:t>
      </w:r>
    </w:p>
    <w:p>
      <w:r>
        <w:t>The courts at Kolkata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