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Chameli Kamdar, hereinafter referred to as the 'Lessor',</w:t>
      </w:r>
    </w:p>
    <w:p/>
    <w:p>
      <w:r>
        <w:t>AND</w:t>
      </w:r>
    </w:p>
    <w:p/>
    <w:p>
      <w:r>
        <w:t>LESSEE: Thomas Prasad,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580/1, admeasuring 30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An upfront lease premium amounting to ₹3,750,000 shall be payable by the Lessee prior to handover of possession of the land.</w:t>
      </w:r>
    </w:p>
    <w:p/>
    <w:p>
      <w:r>
        <w:t>3. ANNUAL LEASE RENT</w:t>
      </w:r>
    </w:p>
    <w:p>
      <w:r>
        <w:t>Annual rent of ₹232,500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