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Hritik Prabhakar, hereinafter referred to as the 'Lessor',</w:t>
      </w:r>
    </w:p>
    <w:p/>
    <w:p>
      <w:r>
        <w:t>AND</w:t>
      </w:r>
    </w:p>
    <w:p/>
    <w:p>
      <w:r>
        <w:t>LESSEE: Mitesh Sehgal,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442/A, admeasuring 7.7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₹3,680,000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₹77,500 payable on or before August each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442/A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