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Lakshmi Raja, hereinafter referred to as the 'Lessor',</w:t>
      </w:r>
    </w:p>
    <w:p/>
    <w:p>
      <w:r>
        <w:t>AND</w:t>
      </w:r>
    </w:p>
    <w:p/>
    <w:p>
      <w:r>
        <w:t>LESSEE: Qadim Vala,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461/2, admeasuring 3.75 hectares,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The Lessee shall pay a one-time lease premium of ₹3,500,000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₹228,000 payable on or before July each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461/2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