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Hyderabad between:</w:t>
      </w:r>
    </w:p>
    <w:p/>
    <w:p>
      <w:r>
        <w:t>LESSOR: Vidhi Mangal, hereinafter referred to as the 'Lessor',</w:t>
      </w:r>
    </w:p>
    <w:p/>
    <w:p>
      <w:r>
        <w:t>AND</w:t>
      </w:r>
    </w:p>
    <w:p/>
    <w:p>
      <w:r>
        <w:t>LESSEE: Jagat Singhal,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350/B, admeasuring 15916 sq. ft.,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₹940,000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₹240,000 payable on or before May each year.</w:t>
      </w:r>
    </w:p>
    <w:p/>
    <w:p>
      <w:r>
        <w:t>4. PERMITTED USE</w:t>
      </w:r>
    </w:p>
    <w:p>
      <w:r>
        <w:t>The Lessee shall use the leased land solely for the purpose of dairy farming operations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350/B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Hyderabad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