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Baghyawati Sami, hereinafter referred to as the 'Lessor',</w:t>
      </w:r>
    </w:p>
    <w:p/>
    <w:p>
      <w:r>
        <w:t>AND</w:t>
      </w:r>
    </w:p>
    <w:p/>
    <w:p>
      <w:r>
        <w:t>LESSEE: Raghav Mammen,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499/A, admeasuring 2.66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₹1,440,000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₹72,500 payable on or before April each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499/A,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