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Chennai between:</w:t>
      </w:r>
    </w:p>
    <w:p/>
    <w:p>
      <w:r>
        <w:t>LESSOR: Bahadurjit Doctor, hereinafter referred to as the 'Lessor',</w:t>
      </w:r>
    </w:p>
    <w:p/>
    <w:p>
      <w:r>
        <w:t>AND</w:t>
      </w:r>
    </w:p>
    <w:p/>
    <w:p>
      <w:r>
        <w:t>LESSEE: Chakradhar Kara, hereinafter referred to as the 'Lessee'.</w:t>
      </w:r>
    </w:p>
    <w:p/>
    <w:p>
      <w:r>
        <w:t>This Deed is governed by the laws of Bihar.</w:t>
      </w:r>
    </w:p>
    <w:p/>
    <w:p>
      <w:r>
        <w:t>WHEREAS the Lessor is the absolute owner of the land bearing Survey No. 732/3, admeasuring 3.19 hectares,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₹3,370,000 to the Lessor upon execution of this Deed.</w:t>
      </w:r>
    </w:p>
    <w:p/>
    <w:p>
      <w:r>
        <w:t>3. ANNUAL LEASE RENT</w:t>
      </w:r>
    </w:p>
    <w:p>
      <w:r>
        <w:t>Annual rent of ₹242,500 for the leased land shall be paid by the Lessee to the Lessor on or before May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Chennai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