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Nagpur between:</w:t>
      </w:r>
    </w:p>
    <w:p/>
    <w:p>
      <w:r>
        <w:t>LESSOR: Abdul Baral, hereinafter referred to as the 'Lessor',</w:t>
      </w:r>
    </w:p>
    <w:p/>
    <w:p>
      <w:r>
        <w:t>AND</w:t>
      </w:r>
    </w:p>
    <w:p/>
    <w:p>
      <w:r>
        <w:t>LESSEE: Zilmil Agrawal,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909/3, admeasuring 0.62 acres,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An upfront lease premium amounting to ₹1,970,000 shall be payable by the Lessee prior to handover of possession of the land.</w:t>
      </w:r>
    </w:p>
    <w:p/>
    <w:p>
      <w:r>
        <w:t>3. ANNUAL LEASE RENT</w:t>
      </w:r>
    </w:p>
    <w:p>
      <w:r>
        <w:t>Annual rent of ₹169,500 for the leased land shall be paid by the Lessee to the Lessor on or before February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909/3,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Nagpur.</w:t>
      </w:r>
    </w:p>
    <w:p/>
    <w:p>
      <w:r>
        <w:t>8. JURISDICTION</w:t>
      </w:r>
    </w:p>
    <w:p>
      <w:r>
        <w:t>This Agreement shall be governed by the laws of India, and courts at Nagpur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