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Bhopal between:</w:t>
      </w:r>
    </w:p>
    <w:p/>
    <w:p>
      <w:r>
        <w:t>LESSOR: Omisha Raghavan, hereinafter referred to as the 'Lessor',</w:t>
      </w:r>
    </w:p>
    <w:p/>
    <w:p>
      <w:r>
        <w:t>AND</w:t>
      </w:r>
    </w:p>
    <w:p/>
    <w:p>
      <w:r>
        <w:t>LESSEE: Irya Bhatti,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981/3, admeasuring 2.11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An upfront lease premium amounting to ₹970,000 shall be payable by the Lessee prior to handover of possession of the land.</w:t>
      </w:r>
    </w:p>
    <w:p/>
    <w:p>
      <w:r>
        <w:t>3. ANNUAL LEASE RENT</w:t>
      </w:r>
    </w:p>
    <w:p>
      <w:r>
        <w:t>Annual rent of ₹204,000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981/3,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Bhopal.</w:t>
      </w:r>
    </w:p>
    <w:p/>
    <w:p>
      <w:r>
        <w:t>8. JURISDICTION</w:t>
      </w:r>
    </w:p>
    <w:p>
      <w:r>
        <w:t>This Agreement shall be governed by the laws of India, and courts at Bhopal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