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Chennai between:</w:t>
      </w:r>
    </w:p>
    <w:p/>
    <w:p>
      <w:r>
        <w:t>LESSOR: Krishna Sachdev, hereinafter referred to as the 'Lessor',</w:t>
      </w:r>
    </w:p>
    <w:p/>
    <w:p>
      <w:r>
        <w:t>AND</w:t>
      </w:r>
    </w:p>
    <w:p/>
    <w:p>
      <w:r>
        <w:t>LESSEE: Lakshit Oak,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280/3, admeasuring 13807 sq. ft.,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₹2,290,000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₹144,500 payable on or before June each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Chennai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