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Indore between:</w:t>
      </w:r>
    </w:p>
    <w:p/>
    <w:p>
      <w:r>
        <w:t>LESSOR: Chasmum Jha, hereinafter referred to as the 'Lessor',</w:t>
      </w:r>
    </w:p>
    <w:p/>
    <w:p>
      <w:r>
        <w:t>AND</w:t>
      </w:r>
    </w:p>
    <w:p/>
    <w:p>
      <w:r>
        <w:t>LESSEE: Aadi Warrior,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87/A, admeasuring 2.04 hectares,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₹3,310,000 shall be payable by the Lessee prior to handover of possession of the land.</w:t>
      </w:r>
    </w:p>
    <w:p/>
    <w:p>
      <w:r>
        <w:t>3. ANNUAL LEASE RENT</w:t>
      </w:r>
    </w:p>
    <w:p>
      <w:r>
        <w:t>Annual rent of ₹37,000 for the leased land shall be paid by the Lessee to the Lessor on or before June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87/A,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Indore.</w:t>
      </w:r>
    </w:p>
    <w:p/>
    <w:p>
      <w:r>
        <w:t>8. JURISDICTION</w:t>
      </w:r>
    </w:p>
    <w:p>
      <w:r>
        <w:t>This Agreement shall be governed by the laws of India, and courts at Indore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