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Jeevika Sarraf, hereinafter referred to as the 'Lessor',</w:t>
      </w:r>
    </w:p>
    <w:p/>
    <w:p>
      <w:r>
        <w:t>AND</w:t>
      </w:r>
    </w:p>
    <w:p/>
    <w:p>
      <w:r>
        <w:t>LESSEE: Samaksh Dhillon,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432/1, admeasuring 3.58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₹4,690,000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₹204,000 payable on or before July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432/1,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Nagpur.</w:t>
      </w:r>
    </w:p>
    <w:p/>
    <w:p>
      <w:r>
        <w:t>8. JURISDICTION</w:t>
      </w:r>
    </w:p>
    <w:p>
      <w:r>
        <w:t>This Agreement shall be governed by the laws of India, and courts at Nagpur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