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Samar Balakrishnan, hereinafter referred to as the 'Lessor',</w:t>
      </w:r>
    </w:p>
    <w:p/>
    <w:p>
      <w:r>
        <w:t>AND</w:t>
      </w:r>
    </w:p>
    <w:p/>
    <w:p>
      <w:r>
        <w:t>LESSEE: Damini Narayanan,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381/B, admeasuring 2.57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₹3,400,000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₹162,000 payable on or before April each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381/B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