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Bhopal between:</w:t>
      </w:r>
    </w:p>
    <w:p/>
    <w:p>
      <w:r>
        <w:t>LESSOR: Quincy Prasad, hereinafter referred to as the 'Lessor',</w:t>
      </w:r>
    </w:p>
    <w:p/>
    <w:p>
      <w:r>
        <w:t>AND</w:t>
      </w:r>
    </w:p>
    <w:p/>
    <w:p>
      <w:r>
        <w:t>LESSEE: Pratyush Char,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899/2, admeasuring 9909 sq. ft.,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An upfront lease premium amounting to ₹3,510,000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₹139,000 payable on or before August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899/2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Bhopal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