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Vritti Chaudry, hereinafter referred to as the 'Lessor',</w:t>
      </w:r>
    </w:p>
    <w:p/>
    <w:p>
      <w:r>
        <w:t>AND</w:t>
      </w:r>
    </w:p>
    <w:p/>
    <w:p>
      <w:r>
        <w:t>LESSEE: Caleb Om,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853/B, admeasuring 22 guntha,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₹860,000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₹258,000 payable on or before September each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