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Ekaja Ramaswamy, hereinafter referred to as the 'Lessor',</w:t>
      </w:r>
    </w:p>
    <w:p/>
    <w:p>
      <w:r>
        <w:t>AND</w:t>
      </w:r>
    </w:p>
    <w:p/>
    <w:p>
      <w:r>
        <w:t>LESSEE: Chanakya Sharma,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23/A, admeasuring 11379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₹2,930,000 to the Lessor upon execution of this Deed.</w:t>
      </w:r>
    </w:p>
    <w:p/>
    <w:p>
      <w:r>
        <w:t>3. ANNUAL LEASE RENT</w:t>
      </w:r>
    </w:p>
    <w:p>
      <w:r>
        <w:t>Annual rent of ₹250,500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23/A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