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Lucknow between:</w:t>
      </w:r>
    </w:p>
    <w:p/>
    <w:p>
      <w:r>
        <w:t>LESSOR: Devika Bhandari, hereinafter referred to as the 'Lessor',</w:t>
      </w:r>
    </w:p>
    <w:p/>
    <w:p>
      <w:r>
        <w:t>AND</w:t>
      </w:r>
    </w:p>
    <w:p/>
    <w:p>
      <w:r>
        <w:t>LESSEE: Unni Talwar, hereinafter referred to as the 'Lessee'.</w:t>
      </w:r>
    </w:p>
    <w:p/>
    <w:p>
      <w:r>
        <w:t>This Deed is governed by the laws of Telangana.</w:t>
      </w:r>
    </w:p>
    <w:p/>
    <w:p>
      <w:r>
        <w:t>WHEREAS the Lessor is the absolute owner of the land bearing Survey No. 47/3, admeasuring 15655 sq. ft., classified as Commercial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10 years from the date of execution hereof.</w:t>
      </w:r>
    </w:p>
    <w:p/>
    <w:p>
      <w:r>
        <w:t>2. LEASE PREMIUM</w:t>
      </w:r>
    </w:p>
    <w:p>
      <w:r>
        <w:t>An upfront lease premium amounting to ₹910,000 shall be payable by the Lessee prior to handover of possession of the land.</w:t>
      </w:r>
    </w:p>
    <w:p/>
    <w:p>
      <w:r>
        <w:t>3. ANNUAL LEASE RENT</w:t>
      </w:r>
    </w:p>
    <w:p>
      <w:r>
        <w:t>Annual rent of ₹86,000 for the leased land shall be paid by the Lessee to the Lessor on or before March of every calendar year.</w:t>
      </w:r>
    </w:p>
    <w:p/>
    <w:p>
      <w:r>
        <w:t>4. PERMITTED USE</w:t>
      </w:r>
    </w:p>
    <w:p>
      <w:r>
        <w:t>The land hereby leased shall be utilised exclusively for cultivation of seasonal crops;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47/3,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JURISDICTION</w:t>
      </w:r>
    </w:p>
    <w:p>
      <w:r>
        <w:t>This Agreement shall be governed by the laws of India, and courts at Lucknow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