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Vadodara between:</w:t>
      </w:r>
    </w:p>
    <w:p/>
    <w:p>
      <w:r>
        <w:t>LESSOR: Krishna Jhaveri, hereinafter referred to as the 'Lessor',</w:t>
      </w:r>
    </w:p>
    <w:p/>
    <w:p>
      <w:r>
        <w:t>AND</w:t>
      </w:r>
    </w:p>
    <w:p/>
    <w:p>
      <w:r>
        <w:t>LESSEE: Abdul Vohra, hereinafter referred to as the 'Lessee'.</w:t>
      </w:r>
    </w:p>
    <w:p/>
    <w:p>
      <w:r>
        <w:t>This Deed is governed by the laws of Madhya Pradesh.</w:t>
      </w:r>
    </w:p>
    <w:p/>
    <w:p>
      <w:r>
        <w:t>WHEREAS the Lessor is the absolute owner of the land bearing Survey No. 583/A, admeasuring 3.99 hectares,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The Lessee shall pay a one-time lease premium of ₹2,570,000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₹87,000 payable on or before November each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583/A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Vadodara.</w:t>
      </w:r>
    </w:p>
    <w:p/>
    <w:p>
      <w:r>
        <w:t>8. JURISDICTION</w:t>
      </w:r>
    </w:p>
    <w:p>
      <w:r>
        <w:t>This Agreement shall be governed by the laws of India, and courts at Vadodara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