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Bengaluru between:</w:t>
      </w:r>
    </w:p>
    <w:p/>
    <w:p>
      <w:r>
        <w:t>LESSOR: Siddharth Peri, hereinafter referred to as the 'Lessor',</w:t>
      </w:r>
    </w:p>
    <w:p/>
    <w:p>
      <w:r>
        <w:t>AND</w:t>
      </w:r>
    </w:p>
    <w:p/>
    <w:p>
      <w:r>
        <w:t>LESSEE: Yauvani Ganesh, hereinafter referred to as the 'Lessee'.</w:t>
      </w:r>
    </w:p>
    <w:p/>
    <w:p>
      <w:r>
        <w:t>This Deed is governed by the laws of Gujarat.</w:t>
      </w:r>
    </w:p>
    <w:p/>
    <w:p>
      <w:r>
        <w:t>WHEREAS the Lessor is the absolute owner of the land bearing Survey No. 790/1, admeasuring 23 guntha,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An upfront lease premium amounting to ₹4,750,000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₹218,500 payable on or before January each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Bengaluru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