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Nagercoil between:</w:t>
      </w:r>
    </w:p>
    <w:p/>
    <w:p>
      <w:r>
        <w:t>LESSOR: Pallavi Chaudhary, hereinafter referred to as the 'Lessor',</w:t>
      </w:r>
    </w:p>
    <w:p/>
    <w:p>
      <w:r>
        <w:t>AND</w:t>
      </w:r>
    </w:p>
    <w:p/>
    <w:p>
      <w:r>
        <w:t>LESSEE: Sathvik Bobal, hereinafter referred to as the 'Lessee'.</w:t>
      </w:r>
    </w:p>
    <w:p/>
    <w:p>
      <w:r>
        <w:t>This Deed is governed by the laws of Tamil Nadu.</w:t>
      </w:r>
    </w:p>
    <w:p/>
    <w:p>
      <w:r>
        <w:t>WHEREAS the Lessor is the absolute owner of the land bearing Survey No. 650/2, admeasuring 2246 sq. ft., classified as Non-Agricultural (NA)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The Lessee shall pay a one-time lease premium of ₹3,990,000 to the Lessor upon execution of this Deed.</w:t>
      </w:r>
    </w:p>
    <w:p/>
    <w:p>
      <w:r>
        <w:t>3. ANNUAL LEASE RENT</w:t>
      </w:r>
    </w:p>
    <w:p>
      <w:r>
        <w:t>Annual rent of ₹26,500 for the leased land shall be paid by the Lessee to the Lessor on or before August of every calendar year.</w:t>
      </w:r>
    </w:p>
    <w:p/>
    <w:p>
      <w:r>
        <w:t>4. PERMITTED USE</w:t>
      </w:r>
    </w:p>
    <w:p>
      <w:r>
        <w:t>The Lessee shall use the leased land solely for the purpose of construction of a warehouse facility and for no other purpose without prior written consent.</w:t>
      </w:r>
    </w:p>
    <w:p/>
    <w:p>
      <w:r>
        <w:t>5. ENCUMBRANCE DECLARATION</w:t>
      </w:r>
    </w:p>
    <w:p>
      <w:r>
        <w:t>The Lessor confirms that the land described herein, Survey No. 650/2, is unencumbered and free from any third-party claims.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Nagercoil.</w:t>
      </w:r>
    </w:p>
    <w:p/>
    <w:p>
      <w:r>
        <w:t>8. JURISDICTION</w:t>
      </w:r>
    </w:p>
    <w:p>
      <w:r>
        <w:t>This Agreement shall be governed by the laws of India, and courts at Nagercoil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