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Delhi between:</w:t>
      </w:r>
    </w:p>
    <w:p/>
    <w:p>
      <w:r>
        <w:t>LANDLORD: Bachittar Pillai, hereinafter referred to as the 'Landlord',</w:t>
      </w:r>
    </w:p>
    <w:p/>
    <w:p>
      <w:r>
        <w:t>AND</w:t>
      </w:r>
    </w:p>
    <w:p/>
    <w:p>
      <w:r>
        <w:t>TENANT: Vedhika Majumdar,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Monthly rent payable under this Agreement shall be ₹12,000, due on or before the 10th of every month, payable via bank transfer.</w:t>
      </w:r>
    </w:p>
    <w:p/>
    <w:p>
      <w:r>
        <w:t>3. SECURITY DEPOSIT</w:t>
      </w:r>
    </w:p>
    <w:p>
      <w:r>
        <w:t>Security deposit of ₹72,000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Delhi.</w:t>
      </w:r>
    </w:p>
    <w:p/>
    <w:p>
      <w:r>
        <w:t>7. JURISDICTION</w:t>
      </w:r>
    </w:p>
    <w:p>
      <w:r>
        <w:t>The courts at Delhi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